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</w:t>
      </w:r>
    </w:p>
    <w:p w:rsidR="00BF5A3B" w:rsidRDefault="00144BB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BOLETIM 0</w:t>
      </w:r>
      <w:r w:rsidR="00DF462B">
        <w:rPr>
          <w:rFonts w:ascii="Arial" w:eastAsia="Arial" w:hAnsi="Arial" w:cs="Arial"/>
          <w:b/>
          <w:i/>
          <w:color w:val="000000"/>
          <w:sz w:val="28"/>
          <w:szCs w:val="28"/>
        </w:rPr>
        <w:t>7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i/>
          <w:sz w:val="28"/>
          <w:szCs w:val="28"/>
        </w:rPr>
        <w:t>3</w:t>
      </w:r>
    </w:p>
    <w:p w:rsidR="00BF5A3B" w:rsidRDefault="00BF5A3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ind w:left="1701"/>
        <w:rPr>
          <w:rFonts w:ascii="Arial" w:eastAsia="Arial" w:hAnsi="Arial" w:cs="Arial"/>
          <w:color w:val="000000"/>
        </w:rPr>
      </w:pPr>
    </w:p>
    <w:p w:rsidR="00BF5A3B" w:rsidRDefault="00144BB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BOLETIM DO ÍNDICE DE PREÇOS AO CONSUMIDOR DE FORMIGA (IPC-FGA)</w:t>
      </w:r>
    </w:p>
    <w:p w:rsidR="00460382" w:rsidRDefault="00460382" w:rsidP="00460382">
      <w:pPr>
        <w:spacing w:line="276" w:lineRule="auto"/>
        <w:jc w:val="right"/>
        <w:rPr>
          <w:rFonts w:ascii="Arial" w:hAnsi="Arial" w:cs="Arial"/>
          <w:b/>
          <w:sz w:val="22"/>
        </w:rPr>
      </w:pPr>
    </w:p>
    <w:p w:rsidR="00460382" w:rsidRDefault="00460382" w:rsidP="00460382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GoBack"/>
      <w:bookmarkEnd w:id="1"/>
      <w:r>
        <w:rPr>
          <w:rFonts w:ascii="Arial" w:hAnsi="Arial" w:cs="Arial"/>
          <w:b/>
          <w:sz w:val="22"/>
        </w:rPr>
        <w:t>Autora: Jussara Maria Silva Rodrigues Oliveira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F5A3B" w:rsidRDefault="00DF462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JUNHO</w:t>
      </w:r>
      <w:r w:rsidR="004D125D">
        <w:rPr>
          <w:rFonts w:ascii="Arial" w:eastAsia="Arial" w:hAnsi="Arial" w:cs="Arial"/>
          <w:b/>
          <w:sz w:val="22"/>
          <w:szCs w:val="22"/>
          <w:u w:val="single"/>
        </w:rPr>
        <w:t xml:space="preserve"> DE 2023</w:t>
      </w:r>
    </w:p>
    <w:p w:rsidR="00BF5A3B" w:rsidRDefault="00BF5A3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DESCRIÇÃO</w:t>
      </w:r>
    </w:p>
    <w:p w:rsidR="00BF5A3B" w:rsidRDefault="00144BB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boletim é o resultado de um projeto de Iniciação Científica, implantado em </w:t>
      </w:r>
      <w:proofErr w:type="gramStart"/>
      <w:r>
        <w:rPr>
          <w:rFonts w:ascii="Arial" w:eastAsia="Arial" w:hAnsi="Arial" w:cs="Arial"/>
          <w:sz w:val="22"/>
          <w:szCs w:val="22"/>
        </w:rPr>
        <w:t>Agosto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/2022, que visa mensurar e divulgar, sempre entre os dias 19 e 21 de cada mês, a variação dos preços na cidade. O Índice de Preços ao Consumidor de Formiga (IPC-FGA) é obtido a partir das fórmulas empregadas pelo IBGE no cálculo do IPCA, sendo os fatores de impacto (pesos) de cada item adaptados a partir de Belo </w:t>
      </w:r>
      <w:proofErr w:type="spellStart"/>
      <w:r>
        <w:rPr>
          <w:rFonts w:ascii="Arial" w:eastAsia="Arial" w:hAnsi="Arial" w:cs="Arial"/>
          <w:sz w:val="22"/>
          <w:szCs w:val="22"/>
        </w:rPr>
        <w:t>Horizonte-MG</w:t>
      </w:r>
      <w:proofErr w:type="spellEnd"/>
      <w:r>
        <w:rPr>
          <w:rFonts w:ascii="Arial" w:eastAsia="Arial" w:hAnsi="Arial" w:cs="Arial"/>
          <w:sz w:val="22"/>
          <w:szCs w:val="22"/>
        </w:rPr>
        <w:t>. Coletam-se, entre os dias 05 e 15 de cada mês, os preços médios de 209 itens, divididos em 9 grupos, nos 4 estabelecimentos de maior relevância econômica da cidade, para os quais o Centro Universitário de Formiga agradece a atenção e colaboração. Os bens e/ou serviços contemplados na planilha original e inexistentes em Formiga (por exemplo, preço do bilhete de metrô), foram redistribuídos dentro do grupo. O IPC-FGA se refere às famílias com rendimento monetário de 01 a 40 salários mínimos, cuja pessoa de referência é assalariada, abrangendo a cidade de Formiga-MG.</w:t>
      </w:r>
    </w:p>
    <w:p w:rsidR="00275293" w:rsidRDefault="0027529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BF5A3B" w:rsidRDefault="00144BB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RESULTADOS E COMENTÁRIOS</w:t>
      </w:r>
    </w:p>
    <w:p w:rsidR="0012702B" w:rsidRDefault="00144BB7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IPC-FGA em </w:t>
      </w:r>
      <w:proofErr w:type="gramStart"/>
      <w:r w:rsidR="00DF462B">
        <w:rPr>
          <w:rFonts w:ascii="Arial" w:eastAsia="Arial" w:hAnsi="Arial" w:cs="Arial"/>
          <w:sz w:val="22"/>
          <w:szCs w:val="22"/>
        </w:rPr>
        <w:t>Junho</w:t>
      </w:r>
      <w:proofErr w:type="gramEnd"/>
      <w:r w:rsidR="007A6CDC">
        <w:rPr>
          <w:rFonts w:ascii="Arial" w:eastAsia="Arial" w:hAnsi="Arial" w:cs="Arial"/>
          <w:sz w:val="22"/>
          <w:szCs w:val="22"/>
        </w:rPr>
        <w:t xml:space="preserve"> </w:t>
      </w:r>
      <w:r w:rsidR="004D125D">
        <w:rPr>
          <w:rFonts w:ascii="Arial" w:eastAsia="Arial" w:hAnsi="Arial" w:cs="Arial"/>
          <w:sz w:val="22"/>
          <w:szCs w:val="22"/>
        </w:rPr>
        <w:t xml:space="preserve">de </w:t>
      </w:r>
      <w:r w:rsidR="007601B6">
        <w:rPr>
          <w:rFonts w:ascii="Arial" w:eastAsia="Arial" w:hAnsi="Arial" w:cs="Arial"/>
          <w:sz w:val="22"/>
          <w:szCs w:val="22"/>
        </w:rPr>
        <w:t>2023 apresen</w:t>
      </w:r>
      <w:r w:rsidR="00F16A99">
        <w:rPr>
          <w:rFonts w:ascii="Arial" w:eastAsia="Arial" w:hAnsi="Arial" w:cs="Arial"/>
          <w:sz w:val="22"/>
          <w:szCs w:val="22"/>
        </w:rPr>
        <w:t>tou inflação de +0,13</w:t>
      </w:r>
      <w:r w:rsidR="00024EF6"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="007A6CDC">
        <w:rPr>
          <w:rFonts w:ascii="Arial" w:eastAsia="Arial" w:hAnsi="Arial" w:cs="Arial"/>
          <w:sz w:val="22"/>
          <w:szCs w:val="22"/>
        </w:rPr>
        <w:t>D</w:t>
      </w:r>
      <w:r w:rsidR="00837070">
        <w:rPr>
          <w:rFonts w:ascii="Arial" w:eastAsia="Arial" w:hAnsi="Arial" w:cs="Arial"/>
          <w:sz w:val="22"/>
          <w:szCs w:val="22"/>
        </w:rPr>
        <w:t xml:space="preserve">entre os nove grupos pesquisados, </w:t>
      </w:r>
      <w:r w:rsidR="00F16A99">
        <w:rPr>
          <w:rFonts w:ascii="Arial" w:eastAsia="Arial" w:hAnsi="Arial" w:cs="Arial"/>
          <w:sz w:val="22"/>
          <w:szCs w:val="22"/>
        </w:rPr>
        <w:t>apenas quatro</w:t>
      </w:r>
      <w:r w:rsidR="00583379">
        <w:rPr>
          <w:rFonts w:ascii="Arial" w:eastAsia="Arial" w:hAnsi="Arial" w:cs="Arial"/>
          <w:sz w:val="22"/>
          <w:szCs w:val="22"/>
        </w:rPr>
        <w:t xml:space="preserve"> </w:t>
      </w:r>
      <w:r w:rsidR="00837070">
        <w:rPr>
          <w:rFonts w:ascii="Arial" w:eastAsia="Arial" w:hAnsi="Arial" w:cs="Arial"/>
          <w:sz w:val="22"/>
          <w:szCs w:val="22"/>
        </w:rPr>
        <w:t>apresentaram</w:t>
      </w:r>
      <w:r w:rsidR="00A5209A">
        <w:rPr>
          <w:rFonts w:ascii="Arial" w:eastAsia="Arial" w:hAnsi="Arial" w:cs="Arial"/>
          <w:sz w:val="22"/>
          <w:szCs w:val="22"/>
        </w:rPr>
        <w:t xml:space="preserve"> variação positiva nos preços, ou seja,</w:t>
      </w:r>
      <w:r w:rsidR="00837070">
        <w:rPr>
          <w:rFonts w:ascii="Arial" w:eastAsia="Arial" w:hAnsi="Arial" w:cs="Arial"/>
          <w:sz w:val="22"/>
          <w:szCs w:val="22"/>
        </w:rPr>
        <w:t xml:space="preserve"> inflação.</w:t>
      </w:r>
      <w:r w:rsidR="001026F2">
        <w:rPr>
          <w:rFonts w:ascii="Arial" w:eastAsia="Arial" w:hAnsi="Arial" w:cs="Arial"/>
          <w:sz w:val="22"/>
          <w:szCs w:val="22"/>
        </w:rPr>
        <w:t xml:space="preserve"> </w:t>
      </w:r>
      <w:r w:rsidR="00E47B20">
        <w:rPr>
          <w:rFonts w:ascii="Arial" w:eastAsia="Arial" w:hAnsi="Arial" w:cs="Arial"/>
          <w:sz w:val="22"/>
          <w:szCs w:val="22"/>
        </w:rPr>
        <w:t>Embora tenha registrado um percentual menor que no mês anterior, o grupo</w:t>
      </w:r>
      <w:r w:rsidR="001026F2">
        <w:rPr>
          <w:rFonts w:ascii="Arial" w:eastAsia="Arial" w:hAnsi="Arial" w:cs="Arial"/>
          <w:sz w:val="22"/>
          <w:szCs w:val="22"/>
        </w:rPr>
        <w:t xml:space="preserve"> “</w:t>
      </w:r>
      <w:r w:rsidR="001A39DB">
        <w:rPr>
          <w:rFonts w:ascii="Arial" w:eastAsia="Arial" w:hAnsi="Arial" w:cs="Arial"/>
          <w:sz w:val="22"/>
          <w:szCs w:val="22"/>
        </w:rPr>
        <w:t xml:space="preserve">Saúde e Cuidados Pessoais” </w:t>
      </w:r>
      <w:r w:rsidR="00F16A99">
        <w:rPr>
          <w:rFonts w:ascii="Arial" w:eastAsia="Arial" w:hAnsi="Arial" w:cs="Arial"/>
          <w:sz w:val="22"/>
          <w:szCs w:val="22"/>
        </w:rPr>
        <w:t xml:space="preserve">segue sendo “o maior vilão” da inflação em </w:t>
      </w:r>
      <w:r w:rsidR="00E47B20">
        <w:rPr>
          <w:rFonts w:ascii="Arial" w:eastAsia="Arial" w:hAnsi="Arial" w:cs="Arial"/>
          <w:sz w:val="22"/>
          <w:szCs w:val="22"/>
        </w:rPr>
        <w:t>Formiga, registrando</w:t>
      </w:r>
      <w:r w:rsidR="00AB1F94">
        <w:rPr>
          <w:rFonts w:ascii="Arial" w:eastAsia="Arial" w:hAnsi="Arial" w:cs="Arial"/>
          <w:sz w:val="22"/>
          <w:szCs w:val="22"/>
        </w:rPr>
        <w:t xml:space="preserve"> </w:t>
      </w:r>
      <w:r w:rsidR="00F16A99">
        <w:rPr>
          <w:rFonts w:ascii="Arial" w:eastAsia="Arial" w:hAnsi="Arial" w:cs="Arial"/>
          <w:sz w:val="22"/>
          <w:szCs w:val="22"/>
        </w:rPr>
        <w:t>+0,51</w:t>
      </w:r>
      <w:r w:rsidR="001026F2">
        <w:rPr>
          <w:rFonts w:ascii="Arial" w:eastAsia="Arial" w:hAnsi="Arial" w:cs="Arial"/>
          <w:sz w:val="22"/>
          <w:szCs w:val="22"/>
        </w:rPr>
        <w:t>%</w:t>
      </w:r>
      <w:r w:rsidR="00F16A99">
        <w:rPr>
          <w:rFonts w:ascii="Arial" w:eastAsia="Arial" w:hAnsi="Arial" w:cs="Arial"/>
          <w:sz w:val="22"/>
          <w:szCs w:val="22"/>
        </w:rPr>
        <w:t xml:space="preserve">, o que se deve a um forte aumento no preço dos antrigripais, antitérmicos e anti-inflamatórios. </w:t>
      </w:r>
      <w:r w:rsidR="00E47B20">
        <w:rPr>
          <w:rFonts w:ascii="Arial" w:eastAsia="Arial" w:hAnsi="Arial" w:cs="Arial"/>
          <w:sz w:val="22"/>
          <w:szCs w:val="22"/>
        </w:rPr>
        <w:t>O grupo “Vestuário” segue a</w:t>
      </w:r>
      <w:r w:rsidR="00A15485">
        <w:rPr>
          <w:rFonts w:ascii="Arial" w:eastAsia="Arial" w:hAnsi="Arial" w:cs="Arial"/>
          <w:sz w:val="22"/>
          <w:szCs w:val="22"/>
        </w:rPr>
        <w:t xml:space="preserve"> mesma</w:t>
      </w:r>
      <w:r w:rsidR="00E47B20">
        <w:rPr>
          <w:rFonts w:ascii="Arial" w:eastAsia="Arial" w:hAnsi="Arial" w:cs="Arial"/>
          <w:sz w:val="22"/>
          <w:szCs w:val="22"/>
        </w:rPr>
        <w:t xml:space="preserve"> tendência inflacionária, anotando +0,16% na inflação formi</w:t>
      </w:r>
      <w:r w:rsidR="00A15485">
        <w:rPr>
          <w:rFonts w:ascii="Arial" w:eastAsia="Arial" w:hAnsi="Arial" w:cs="Arial"/>
          <w:sz w:val="22"/>
          <w:szCs w:val="22"/>
        </w:rPr>
        <w:t>guense, alimentado</w:t>
      </w:r>
      <w:r w:rsidR="00E47B20">
        <w:rPr>
          <w:rFonts w:ascii="Arial" w:eastAsia="Arial" w:hAnsi="Arial" w:cs="Arial"/>
          <w:sz w:val="22"/>
          <w:szCs w:val="22"/>
        </w:rPr>
        <w:t xml:space="preserve"> pela alta dos preços dos agasalhos (notadamente, os infantis) e calçados femininos (principalmente botas</w:t>
      </w:r>
      <w:r w:rsidR="00527524">
        <w:rPr>
          <w:rFonts w:ascii="Arial" w:eastAsia="Arial" w:hAnsi="Arial" w:cs="Arial"/>
          <w:sz w:val="22"/>
          <w:szCs w:val="22"/>
        </w:rPr>
        <w:t xml:space="preserve"> de couro e similares</w:t>
      </w:r>
      <w:r w:rsidR="00E47B20">
        <w:rPr>
          <w:rFonts w:ascii="Arial" w:eastAsia="Arial" w:hAnsi="Arial" w:cs="Arial"/>
          <w:sz w:val="22"/>
          <w:szCs w:val="22"/>
        </w:rPr>
        <w:t xml:space="preserve">). </w:t>
      </w:r>
      <w:r w:rsidR="00527524">
        <w:rPr>
          <w:rFonts w:ascii="Arial" w:eastAsia="Arial" w:hAnsi="Arial" w:cs="Arial"/>
          <w:sz w:val="22"/>
          <w:szCs w:val="22"/>
        </w:rPr>
        <w:t xml:space="preserve">O grupo “Despesas Pessoais” manteve o mesmo percentual registrado no mês </w:t>
      </w:r>
      <w:r w:rsidR="00527524">
        <w:rPr>
          <w:rFonts w:ascii="Arial" w:eastAsia="Arial" w:hAnsi="Arial" w:cs="Arial"/>
          <w:sz w:val="22"/>
          <w:szCs w:val="22"/>
        </w:rPr>
        <w:lastRenderedPageBreak/>
        <w:t>anterior, ou seja, +0,11% na inflação, fruto do reajuste das tarifas de diárias de hotéis, motéis e pensões. Fechando o</w:t>
      </w:r>
      <w:r w:rsidR="00E47B20">
        <w:rPr>
          <w:rFonts w:ascii="Arial" w:eastAsia="Arial" w:hAnsi="Arial" w:cs="Arial"/>
          <w:sz w:val="22"/>
          <w:szCs w:val="22"/>
        </w:rPr>
        <w:t xml:space="preserve"> grupo</w:t>
      </w:r>
      <w:r w:rsidR="00527524">
        <w:rPr>
          <w:rFonts w:ascii="Arial" w:eastAsia="Arial" w:hAnsi="Arial" w:cs="Arial"/>
          <w:sz w:val="22"/>
          <w:szCs w:val="22"/>
        </w:rPr>
        <w:t xml:space="preserve"> </w:t>
      </w:r>
      <w:r w:rsidR="00A15485">
        <w:rPr>
          <w:rFonts w:ascii="Arial" w:eastAsia="Arial" w:hAnsi="Arial" w:cs="Arial"/>
          <w:sz w:val="22"/>
          <w:szCs w:val="22"/>
        </w:rPr>
        <w:t>inflacionário, “</w:t>
      </w:r>
      <w:r w:rsidR="001A39DB">
        <w:rPr>
          <w:rFonts w:ascii="Arial" w:eastAsia="Arial" w:hAnsi="Arial" w:cs="Arial"/>
          <w:sz w:val="22"/>
          <w:szCs w:val="22"/>
        </w:rPr>
        <w:t>Artigos de Residência”</w:t>
      </w:r>
      <w:r w:rsidR="00E47B20">
        <w:rPr>
          <w:rFonts w:ascii="Arial" w:eastAsia="Arial" w:hAnsi="Arial" w:cs="Arial"/>
          <w:sz w:val="22"/>
          <w:szCs w:val="22"/>
        </w:rPr>
        <w:t xml:space="preserve"> somou +0,</w:t>
      </w:r>
      <w:r w:rsidR="00A15485">
        <w:rPr>
          <w:rFonts w:ascii="Arial" w:eastAsia="Arial" w:hAnsi="Arial" w:cs="Arial"/>
          <w:sz w:val="22"/>
          <w:szCs w:val="22"/>
        </w:rPr>
        <w:t>08% na inflação, ainda como resposta a</w:t>
      </w:r>
      <w:r w:rsidR="00E47B20">
        <w:rPr>
          <w:rFonts w:ascii="Arial" w:eastAsia="Arial" w:hAnsi="Arial" w:cs="Arial"/>
          <w:sz w:val="22"/>
          <w:szCs w:val="22"/>
        </w:rPr>
        <w:t xml:space="preserve">o repasse dos preços dos </w:t>
      </w:r>
      <w:r w:rsidR="00AB1F94">
        <w:rPr>
          <w:rFonts w:ascii="Arial" w:eastAsia="Arial" w:hAnsi="Arial" w:cs="Arial"/>
          <w:sz w:val="22"/>
          <w:szCs w:val="22"/>
        </w:rPr>
        <w:t xml:space="preserve">utensílios domésticos </w:t>
      </w:r>
      <w:r w:rsidR="00597BCD">
        <w:rPr>
          <w:rFonts w:ascii="Arial" w:eastAsia="Arial" w:hAnsi="Arial" w:cs="Arial"/>
          <w:sz w:val="22"/>
          <w:szCs w:val="22"/>
        </w:rPr>
        <w:t>fabricados de plástico (PVC e PET),</w:t>
      </w:r>
      <w:r w:rsidR="00E47B20">
        <w:rPr>
          <w:rFonts w:ascii="Arial" w:eastAsia="Arial" w:hAnsi="Arial" w:cs="Arial"/>
          <w:sz w:val="22"/>
          <w:szCs w:val="22"/>
        </w:rPr>
        <w:t xml:space="preserve"> impactado pela </w:t>
      </w:r>
      <w:proofErr w:type="spellStart"/>
      <w:r w:rsidR="00E47B20">
        <w:rPr>
          <w:rFonts w:ascii="Arial" w:eastAsia="Arial" w:hAnsi="Arial" w:cs="Arial"/>
          <w:sz w:val="22"/>
          <w:szCs w:val="22"/>
        </w:rPr>
        <w:t>reoneração</w:t>
      </w:r>
      <w:proofErr w:type="spellEnd"/>
      <w:r w:rsidR="00E47B20">
        <w:rPr>
          <w:rFonts w:ascii="Arial" w:eastAsia="Arial" w:hAnsi="Arial" w:cs="Arial"/>
          <w:sz w:val="22"/>
          <w:szCs w:val="22"/>
        </w:rPr>
        <w:t xml:space="preserve"> </w:t>
      </w:r>
      <w:r w:rsidR="00527524">
        <w:rPr>
          <w:rFonts w:ascii="Arial" w:eastAsia="Arial" w:hAnsi="Arial" w:cs="Arial"/>
          <w:sz w:val="22"/>
          <w:szCs w:val="22"/>
        </w:rPr>
        <w:t xml:space="preserve">tributária iniciada em abril. A deflação foi registrada para cinco grupos. As perspectivas pelo aumento da safra 2022/2023 seguem influenciando no preço dos alimentos. </w:t>
      </w:r>
      <w:r w:rsidR="008961EA">
        <w:rPr>
          <w:rFonts w:ascii="Arial" w:eastAsia="Arial" w:hAnsi="Arial" w:cs="Arial"/>
          <w:sz w:val="22"/>
          <w:szCs w:val="22"/>
        </w:rPr>
        <w:t>Assim, o</w:t>
      </w:r>
      <w:r w:rsidR="00527524">
        <w:rPr>
          <w:rFonts w:ascii="Arial" w:eastAsia="Arial" w:hAnsi="Arial" w:cs="Arial"/>
          <w:sz w:val="22"/>
          <w:szCs w:val="22"/>
        </w:rPr>
        <w:t xml:space="preserve"> grupo “Alimentação e Bebidas” registrou queda de -0,38%, proporcionada pela r</w:t>
      </w:r>
      <w:r w:rsidR="00A15485">
        <w:rPr>
          <w:rFonts w:ascii="Arial" w:eastAsia="Arial" w:hAnsi="Arial" w:cs="Arial"/>
          <w:sz w:val="22"/>
          <w:szCs w:val="22"/>
        </w:rPr>
        <w:t>edução no preço dos produtos derivados de milho, óleo de soja/girassol,</w:t>
      </w:r>
      <w:r w:rsidR="00527524">
        <w:rPr>
          <w:rFonts w:ascii="Arial" w:eastAsia="Arial" w:hAnsi="Arial" w:cs="Arial"/>
          <w:sz w:val="22"/>
          <w:szCs w:val="22"/>
        </w:rPr>
        <w:t xml:space="preserve"> verduras (principalmente as folhosas, como </w:t>
      </w:r>
      <w:r w:rsidR="00A15485">
        <w:rPr>
          <w:rFonts w:ascii="Arial" w:eastAsia="Arial" w:hAnsi="Arial" w:cs="Arial"/>
          <w:sz w:val="22"/>
          <w:szCs w:val="22"/>
        </w:rPr>
        <w:t xml:space="preserve">a </w:t>
      </w:r>
      <w:r w:rsidR="00527524">
        <w:rPr>
          <w:rFonts w:ascii="Arial" w:eastAsia="Arial" w:hAnsi="Arial" w:cs="Arial"/>
          <w:sz w:val="22"/>
          <w:szCs w:val="22"/>
        </w:rPr>
        <w:t>alface</w:t>
      </w:r>
      <w:r w:rsidR="00A15485">
        <w:rPr>
          <w:rFonts w:ascii="Arial" w:eastAsia="Arial" w:hAnsi="Arial" w:cs="Arial"/>
          <w:sz w:val="22"/>
          <w:szCs w:val="22"/>
        </w:rPr>
        <w:t xml:space="preserve">) e cebola, dentre outros. </w:t>
      </w:r>
      <w:r w:rsidR="00DE13F3">
        <w:rPr>
          <w:rFonts w:ascii="Arial" w:eastAsia="Arial" w:hAnsi="Arial" w:cs="Arial"/>
          <w:sz w:val="22"/>
          <w:szCs w:val="22"/>
        </w:rPr>
        <w:t>As sucessivas quedas no preço do gás de cozinha fizeram com que o grupo “Habitação” impactasse com -0,28%. Da mesma forma, outros combustíveis, destacando-se a gasolina e o diesel, contr</w:t>
      </w:r>
      <w:r w:rsidR="00310AD7">
        <w:rPr>
          <w:rFonts w:ascii="Arial" w:eastAsia="Arial" w:hAnsi="Arial" w:cs="Arial"/>
          <w:sz w:val="22"/>
          <w:szCs w:val="22"/>
        </w:rPr>
        <w:t>ibuíram para uma deflação de -0,04% para o grupo “Transportes” – mesmo percentual verificado para o grupo “Educação”, que voltou a fazer promoções de insumos escolares e de escritório, tais como papéis avulsos, canetas, lápis e outros materiais. Por fim, o grupo “Comunicação” reportou -0,01% na variação dos preços do mês de junho como fruto da oferta de novos planos de assinatura para voz e dados. O</w:t>
      </w:r>
      <w:r>
        <w:rPr>
          <w:rFonts w:ascii="Arial" w:eastAsia="Arial" w:hAnsi="Arial" w:cs="Arial"/>
          <w:sz w:val="22"/>
          <w:szCs w:val="22"/>
        </w:rPr>
        <w:t xml:space="preserve"> IPCA-Brasil, medido pelo IBGE no mesmo período avaliado</w:t>
      </w:r>
      <w:r w:rsidR="002E04EC">
        <w:rPr>
          <w:rFonts w:ascii="Arial" w:eastAsia="Arial" w:hAnsi="Arial" w:cs="Arial"/>
          <w:sz w:val="22"/>
          <w:szCs w:val="22"/>
        </w:rPr>
        <w:t xml:space="preserve"> por esta pesquisa,</w:t>
      </w:r>
      <w:r w:rsidR="00FB4A4C" w:rsidRPr="00FB4A4C">
        <w:rPr>
          <w:rFonts w:ascii="Arial" w:eastAsia="Arial" w:hAnsi="Arial" w:cs="Arial"/>
          <w:sz w:val="22"/>
          <w:szCs w:val="22"/>
        </w:rPr>
        <w:t xml:space="preserve"> </w:t>
      </w:r>
      <w:r w:rsidR="00ED2B1F">
        <w:rPr>
          <w:rFonts w:ascii="Arial" w:eastAsia="Arial" w:hAnsi="Arial" w:cs="Arial"/>
          <w:sz w:val="22"/>
          <w:szCs w:val="22"/>
        </w:rPr>
        <w:t>registrou</w:t>
      </w:r>
      <w:r w:rsidR="00310AD7">
        <w:rPr>
          <w:rFonts w:ascii="Arial" w:eastAsia="Arial" w:hAnsi="Arial" w:cs="Arial"/>
          <w:sz w:val="22"/>
          <w:szCs w:val="22"/>
        </w:rPr>
        <w:t>, pela primeira vez no ano, deflação de -0,08%. Formiga segue acompanhando a tendência de queda da inflação, embora ainda</w:t>
      </w:r>
      <w:r w:rsidR="00E43D92">
        <w:rPr>
          <w:rFonts w:ascii="Arial" w:eastAsia="Arial" w:hAnsi="Arial" w:cs="Arial"/>
          <w:sz w:val="22"/>
          <w:szCs w:val="22"/>
        </w:rPr>
        <w:t xml:space="preserve"> registre valores positivos muito mais</w:t>
      </w:r>
      <w:r w:rsidR="00310AD7">
        <w:rPr>
          <w:rFonts w:ascii="Arial" w:eastAsia="Arial" w:hAnsi="Arial" w:cs="Arial"/>
          <w:sz w:val="22"/>
          <w:szCs w:val="22"/>
        </w:rPr>
        <w:t xml:space="preserve"> expressivos em determ</w:t>
      </w:r>
      <w:r w:rsidR="00E43D92">
        <w:rPr>
          <w:rFonts w:ascii="Arial" w:eastAsia="Arial" w:hAnsi="Arial" w:cs="Arial"/>
          <w:sz w:val="22"/>
          <w:szCs w:val="22"/>
        </w:rPr>
        <w:t xml:space="preserve">inados grupos, como no caso dos remédios, por exemplo, que possuem um forte fator de impacto na variação dos preços. </w:t>
      </w:r>
      <w:r w:rsidR="0012702B">
        <w:rPr>
          <w:rFonts w:ascii="Arial" w:eastAsia="Arial" w:hAnsi="Arial" w:cs="Arial"/>
          <w:sz w:val="22"/>
          <w:szCs w:val="22"/>
        </w:rPr>
        <w:t xml:space="preserve">A queda do </w:t>
      </w:r>
      <w:r w:rsidR="008961EA">
        <w:rPr>
          <w:rFonts w:ascii="Arial" w:eastAsia="Arial" w:hAnsi="Arial" w:cs="Arial"/>
          <w:sz w:val="22"/>
          <w:szCs w:val="22"/>
        </w:rPr>
        <w:t xml:space="preserve">            </w:t>
      </w:r>
      <w:r w:rsidR="0012702B">
        <w:rPr>
          <w:rFonts w:ascii="Arial" w:eastAsia="Arial" w:hAnsi="Arial" w:cs="Arial"/>
          <w:sz w:val="22"/>
          <w:szCs w:val="22"/>
        </w:rPr>
        <w:t xml:space="preserve">IPCA-Brasil de maio para junho foi de </w:t>
      </w:r>
      <w:r w:rsidR="00526BA2">
        <w:rPr>
          <w:rFonts w:ascii="Arial" w:eastAsia="Arial" w:hAnsi="Arial" w:cs="Arial"/>
          <w:sz w:val="22"/>
          <w:szCs w:val="22"/>
        </w:rPr>
        <w:t>-</w:t>
      </w:r>
      <w:r w:rsidR="0012702B">
        <w:rPr>
          <w:rFonts w:ascii="Arial" w:eastAsia="Arial" w:hAnsi="Arial" w:cs="Arial"/>
          <w:sz w:val="22"/>
          <w:szCs w:val="22"/>
        </w:rPr>
        <w:t>134,8%* (+0,23% ante -0,08%)</w:t>
      </w:r>
      <w:r w:rsidR="008961EA">
        <w:rPr>
          <w:rFonts w:ascii="Arial" w:eastAsia="Arial" w:hAnsi="Arial" w:cs="Arial"/>
          <w:sz w:val="22"/>
          <w:szCs w:val="22"/>
        </w:rPr>
        <w:t xml:space="preserve"> ao passo que a redução do IPC</w:t>
      </w:r>
      <w:r w:rsidR="0012702B">
        <w:rPr>
          <w:rFonts w:ascii="Arial" w:eastAsia="Arial" w:hAnsi="Arial" w:cs="Arial"/>
          <w:sz w:val="22"/>
          <w:szCs w:val="22"/>
        </w:rPr>
        <w:t xml:space="preserve">-FGA, no mesmo período, foi de </w:t>
      </w:r>
      <w:r w:rsidR="00526BA2">
        <w:rPr>
          <w:rFonts w:ascii="Arial" w:eastAsia="Arial" w:hAnsi="Arial" w:cs="Arial"/>
          <w:sz w:val="22"/>
          <w:szCs w:val="22"/>
        </w:rPr>
        <w:t>-</w:t>
      </w:r>
      <w:r w:rsidR="0012702B">
        <w:rPr>
          <w:rFonts w:ascii="Arial" w:eastAsia="Arial" w:hAnsi="Arial" w:cs="Arial"/>
          <w:sz w:val="22"/>
          <w:szCs w:val="22"/>
        </w:rPr>
        <w:t xml:space="preserve">71,1%** (+0,45 ante </w:t>
      </w:r>
      <w:r w:rsidR="008961EA">
        <w:rPr>
          <w:rFonts w:ascii="Arial" w:eastAsia="Arial" w:hAnsi="Arial" w:cs="Arial"/>
          <w:sz w:val="22"/>
          <w:szCs w:val="22"/>
        </w:rPr>
        <w:t>+</w:t>
      </w:r>
      <w:r w:rsidR="0012702B">
        <w:rPr>
          <w:rFonts w:ascii="Arial" w:eastAsia="Arial" w:hAnsi="Arial" w:cs="Arial"/>
          <w:sz w:val="22"/>
          <w:szCs w:val="22"/>
        </w:rPr>
        <w:t xml:space="preserve">0,13%). </w:t>
      </w:r>
      <w:r w:rsidR="00E43D92">
        <w:rPr>
          <w:rFonts w:ascii="Arial" w:eastAsia="Arial" w:hAnsi="Arial" w:cs="Arial"/>
          <w:sz w:val="22"/>
          <w:szCs w:val="22"/>
        </w:rPr>
        <w:t>A manutenção de taxas inflacionárias acima da média nacional pode, ao longo de um período de tempo maior, reduzir a competitividade do município frente a outros, iniciando-se um “círculo vicioso”</w:t>
      </w:r>
      <w:r w:rsidR="00DD30B9">
        <w:rPr>
          <w:rFonts w:ascii="Arial" w:eastAsia="Arial" w:hAnsi="Arial" w:cs="Arial"/>
          <w:sz w:val="22"/>
          <w:szCs w:val="22"/>
        </w:rPr>
        <w:t>, onde os preços</w:t>
      </w:r>
      <w:r w:rsidR="00E43D92">
        <w:rPr>
          <w:rFonts w:ascii="Arial" w:eastAsia="Arial" w:hAnsi="Arial" w:cs="Arial"/>
          <w:sz w:val="22"/>
          <w:szCs w:val="22"/>
        </w:rPr>
        <w:t xml:space="preserve"> maiores </w:t>
      </w:r>
      <w:r w:rsidR="00DD30B9">
        <w:rPr>
          <w:rFonts w:ascii="Arial" w:eastAsia="Arial" w:hAnsi="Arial" w:cs="Arial"/>
          <w:sz w:val="22"/>
          <w:szCs w:val="22"/>
        </w:rPr>
        <w:t>decorrem de menores vendas, que por sua vez, estimula a elevação d</w:t>
      </w:r>
      <w:r w:rsidR="00E43D92">
        <w:rPr>
          <w:rFonts w:ascii="Arial" w:eastAsia="Arial" w:hAnsi="Arial" w:cs="Arial"/>
          <w:sz w:val="22"/>
          <w:szCs w:val="22"/>
        </w:rPr>
        <w:t>os preços</w:t>
      </w:r>
      <w:r w:rsidR="00DD30B9">
        <w:rPr>
          <w:rFonts w:ascii="Arial" w:eastAsia="Arial" w:hAnsi="Arial" w:cs="Arial"/>
          <w:sz w:val="22"/>
          <w:szCs w:val="22"/>
        </w:rPr>
        <w:t xml:space="preserve"> para incrementar a margem lucrativa</w:t>
      </w:r>
      <w:r w:rsidR="00E43D92">
        <w:rPr>
          <w:rFonts w:ascii="Arial" w:eastAsia="Arial" w:hAnsi="Arial" w:cs="Arial"/>
          <w:sz w:val="22"/>
          <w:szCs w:val="22"/>
        </w:rPr>
        <w:t>, numa retroalimentação que pode ser prejudicial à economia local. Contudo, há de se considerar que, num passado recente, a cidade registrou reajustes de preço locais inferiores à média nacional</w:t>
      </w:r>
      <w:r w:rsidR="00DD30B9">
        <w:rPr>
          <w:rFonts w:ascii="Arial" w:eastAsia="Arial" w:hAnsi="Arial" w:cs="Arial"/>
          <w:sz w:val="22"/>
          <w:szCs w:val="22"/>
        </w:rPr>
        <w:t xml:space="preserve">. </w:t>
      </w: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937ED" w:rsidRDefault="006937ED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  <w:sectPr w:rsidR="006937ED" w:rsidSect="00901275">
          <w:headerReference w:type="default" r:id="rId7"/>
          <w:footerReference w:type="default" r:id="rId8"/>
          <w:pgSz w:w="11906" w:h="16838"/>
          <w:pgMar w:top="2552" w:right="1133" w:bottom="1276" w:left="1134" w:header="1418" w:footer="1127" w:gutter="0"/>
          <w:pgNumType w:start="1"/>
          <w:cols w:space="720"/>
        </w:sectPr>
      </w:pPr>
    </w:p>
    <w:p w:rsidR="00901275" w:rsidRDefault="00901275" w:rsidP="00BC69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901275" w:rsidRDefault="00901275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  <w:sectPr w:rsidR="00901275" w:rsidSect="006937ED">
          <w:type w:val="continuous"/>
          <w:pgSz w:w="11906" w:h="16838"/>
          <w:pgMar w:top="2552" w:right="1133" w:bottom="1276" w:left="1134" w:header="1418" w:footer="1127" w:gutter="0"/>
          <w:pgNumType w:start="1"/>
          <w:cols w:num="2" w:space="720"/>
        </w:sectPr>
      </w:pPr>
    </w:p>
    <w:p w:rsidR="0012702B" w:rsidRPr="00901275" w:rsidRDefault="0012702B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r w:rsidRPr="00901275">
        <w:rPr>
          <w:rFonts w:ascii="Arial" w:eastAsia="Arial" w:hAnsi="Arial" w:cs="Arial"/>
          <w:i/>
          <w:sz w:val="18"/>
          <w:szCs w:val="22"/>
        </w:rPr>
        <w:lastRenderedPageBreak/>
        <w:t>* Memória de cálculo</w:t>
      </w:r>
    </w:p>
    <w:p w:rsidR="0012702B" w:rsidRDefault="00CE7970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r>
        <w:rPr>
          <w:rFonts w:ascii="Arial" w:eastAsia="Arial" w:hAnsi="Arial" w:cs="Arial"/>
          <w:i/>
          <w:sz w:val="18"/>
          <w:szCs w:val="22"/>
        </w:rPr>
        <w:t>Variação %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 xml:space="preserve"> = </w:t>
      </w:r>
      <w:proofErr w:type="gramStart"/>
      <w:r>
        <w:rPr>
          <w:rFonts w:ascii="Arial" w:eastAsia="Arial" w:hAnsi="Arial" w:cs="Arial"/>
          <w:i/>
          <w:sz w:val="18"/>
          <w:szCs w:val="22"/>
        </w:rPr>
        <w:t>[(</w:t>
      </w:r>
      <w:proofErr w:type="spellStart"/>
      <w:proofErr w:type="gramEnd"/>
      <w:r>
        <w:rPr>
          <w:rFonts w:ascii="Arial" w:eastAsia="Arial" w:hAnsi="Arial" w:cs="Arial"/>
          <w:i/>
          <w:sz w:val="18"/>
          <w:szCs w:val="22"/>
        </w:rPr>
        <w:t>I.atual</w:t>
      </w:r>
      <w:proofErr w:type="spellEnd"/>
      <w:r>
        <w:rPr>
          <w:rFonts w:ascii="Arial" w:eastAsia="Arial" w:hAnsi="Arial" w:cs="Arial"/>
          <w:i/>
          <w:sz w:val="18"/>
          <w:szCs w:val="22"/>
        </w:rPr>
        <w:t xml:space="preserve"> - </w:t>
      </w:r>
      <w:proofErr w:type="spellStart"/>
      <w:r>
        <w:rPr>
          <w:rFonts w:ascii="Arial" w:eastAsia="Arial" w:hAnsi="Arial" w:cs="Arial"/>
          <w:i/>
          <w:sz w:val="18"/>
          <w:szCs w:val="22"/>
        </w:rPr>
        <w:t>I.anterior</w:t>
      </w:r>
      <w:proofErr w:type="spellEnd"/>
      <w:r>
        <w:rPr>
          <w:rFonts w:ascii="Arial" w:eastAsia="Arial" w:hAnsi="Arial" w:cs="Arial"/>
          <w:i/>
          <w:sz w:val="18"/>
          <w:szCs w:val="22"/>
        </w:rPr>
        <w:t xml:space="preserve">) ÷ </w:t>
      </w:r>
      <w:proofErr w:type="spellStart"/>
      <w:r>
        <w:rPr>
          <w:rFonts w:ascii="Arial" w:eastAsia="Arial" w:hAnsi="Arial" w:cs="Arial"/>
          <w:i/>
          <w:sz w:val="18"/>
          <w:szCs w:val="22"/>
        </w:rPr>
        <w:t>I.anterior</w:t>
      </w:r>
      <w:proofErr w:type="spellEnd"/>
      <w:r>
        <w:rPr>
          <w:rFonts w:ascii="Arial" w:eastAsia="Arial" w:hAnsi="Arial" w:cs="Arial"/>
          <w:i/>
          <w:sz w:val="18"/>
          <w:szCs w:val="22"/>
        </w:rPr>
        <w:t>] ×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 xml:space="preserve"> 100</w:t>
      </w:r>
    </w:p>
    <w:p w:rsidR="00CE7970" w:rsidRPr="00901275" w:rsidRDefault="00CE7970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proofErr w:type="spellStart"/>
      <w:r>
        <w:rPr>
          <w:rFonts w:ascii="Arial" w:eastAsia="Arial" w:hAnsi="Arial" w:cs="Arial"/>
          <w:i/>
          <w:sz w:val="18"/>
          <w:szCs w:val="22"/>
        </w:rPr>
        <w:t>I.atual</w:t>
      </w:r>
      <w:proofErr w:type="spellEnd"/>
      <w:r>
        <w:rPr>
          <w:rFonts w:ascii="Arial" w:eastAsia="Arial" w:hAnsi="Arial" w:cs="Arial"/>
          <w:i/>
          <w:sz w:val="18"/>
          <w:szCs w:val="22"/>
        </w:rPr>
        <w:t xml:space="preserve"> = inflação atual; </w:t>
      </w:r>
      <w:proofErr w:type="spellStart"/>
      <w:proofErr w:type="gramStart"/>
      <w:r>
        <w:rPr>
          <w:rFonts w:ascii="Arial" w:eastAsia="Arial" w:hAnsi="Arial" w:cs="Arial"/>
          <w:i/>
          <w:sz w:val="18"/>
          <w:szCs w:val="22"/>
        </w:rPr>
        <w:t>I.anterior</w:t>
      </w:r>
      <w:proofErr w:type="spellEnd"/>
      <w:proofErr w:type="gramEnd"/>
      <w:r>
        <w:rPr>
          <w:rFonts w:ascii="Arial" w:eastAsia="Arial" w:hAnsi="Arial" w:cs="Arial"/>
          <w:i/>
          <w:sz w:val="18"/>
          <w:szCs w:val="22"/>
        </w:rPr>
        <w:t xml:space="preserve"> = inflação anterior</w:t>
      </w:r>
    </w:p>
    <w:p w:rsidR="006937ED" w:rsidRDefault="006937ED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r>
        <w:rPr>
          <w:rFonts w:ascii="Arial" w:eastAsia="Arial" w:hAnsi="Arial" w:cs="Arial"/>
          <w:i/>
          <w:sz w:val="18"/>
          <w:szCs w:val="22"/>
        </w:rPr>
        <w:t>Então:</w:t>
      </w:r>
    </w:p>
    <w:p w:rsidR="00CE7970" w:rsidRDefault="006937ED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proofErr w:type="gramStart"/>
      <w:r>
        <w:rPr>
          <w:rFonts w:ascii="Arial" w:eastAsia="Arial" w:hAnsi="Arial" w:cs="Arial"/>
          <w:i/>
          <w:sz w:val="18"/>
          <w:szCs w:val="22"/>
        </w:rPr>
        <w:t>[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>(</w:t>
      </w:r>
      <w:proofErr w:type="gramEnd"/>
      <w:r w:rsidR="0012702B" w:rsidRPr="00901275">
        <w:rPr>
          <w:rFonts w:ascii="Arial" w:eastAsia="Arial" w:hAnsi="Arial" w:cs="Arial"/>
          <w:i/>
          <w:sz w:val="18"/>
          <w:szCs w:val="22"/>
        </w:rPr>
        <w:t>-0,08% - 0,23%)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="00CE7970">
        <w:rPr>
          <w:rFonts w:ascii="Arial" w:eastAsia="Arial" w:hAnsi="Arial" w:cs="Arial"/>
          <w:i/>
          <w:sz w:val="18"/>
          <w:szCs w:val="22"/>
        </w:rPr>
        <w:t>÷</w:t>
      </w:r>
      <w:r>
        <w:rPr>
          <w:rFonts w:ascii="Arial" w:eastAsia="Arial" w:hAnsi="Arial" w:cs="Arial"/>
          <w:i/>
          <w:sz w:val="18"/>
          <w:szCs w:val="22"/>
        </w:rPr>
        <w:t xml:space="preserve"> 0,23%] ×</w:t>
      </w:r>
      <w:r w:rsidR="00CE7970">
        <w:rPr>
          <w:rFonts w:ascii="Arial" w:eastAsia="Arial" w:hAnsi="Arial" w:cs="Arial"/>
          <w:i/>
          <w:sz w:val="18"/>
          <w:szCs w:val="22"/>
        </w:rPr>
        <w:t xml:space="preserve"> 100 </w:t>
      </w:r>
    </w:p>
    <w:p w:rsidR="0012702B" w:rsidRPr="00901275" w:rsidRDefault="006937ED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proofErr w:type="gramStart"/>
      <w:r>
        <w:rPr>
          <w:rFonts w:ascii="Arial" w:eastAsia="Arial" w:hAnsi="Arial" w:cs="Arial"/>
          <w:i/>
          <w:sz w:val="18"/>
          <w:szCs w:val="22"/>
        </w:rPr>
        <w:lastRenderedPageBreak/>
        <w:t>[</w:t>
      </w:r>
      <w:r w:rsidR="00CE7970">
        <w:rPr>
          <w:rFonts w:ascii="Arial" w:eastAsia="Arial" w:hAnsi="Arial" w:cs="Arial"/>
          <w:i/>
          <w:sz w:val="18"/>
          <w:szCs w:val="22"/>
        </w:rPr>
        <w:t>(</w:t>
      </w:r>
      <w:proofErr w:type="gramEnd"/>
      <w:r w:rsidR="00CE7970">
        <w:rPr>
          <w:rFonts w:ascii="Arial" w:eastAsia="Arial" w:hAnsi="Arial" w:cs="Arial"/>
          <w:i/>
          <w:sz w:val="18"/>
          <w:szCs w:val="22"/>
        </w:rPr>
        <w:t>-0,31%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="00CE7970">
        <w:rPr>
          <w:rFonts w:ascii="Arial" w:eastAsia="Arial" w:hAnsi="Arial" w:cs="Arial"/>
          <w:i/>
          <w:sz w:val="18"/>
          <w:szCs w:val="22"/>
        </w:rPr>
        <w:t>÷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>0,23%)</w:t>
      </w:r>
      <w:r>
        <w:rPr>
          <w:rFonts w:ascii="Arial" w:eastAsia="Arial" w:hAnsi="Arial" w:cs="Arial"/>
          <w:i/>
          <w:sz w:val="18"/>
          <w:szCs w:val="22"/>
        </w:rPr>
        <w:t>] ×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 xml:space="preserve"> 100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Pr="00901275">
        <w:rPr>
          <w:rFonts w:ascii="Arial" w:eastAsia="Arial" w:hAnsi="Arial" w:cs="Arial"/>
          <w:i/>
          <w:sz w:val="18"/>
          <w:szCs w:val="22"/>
        </w:rPr>
        <w:t xml:space="preserve">≈ </w:t>
      </w:r>
      <w:r w:rsidRPr="00901275">
        <w:rPr>
          <w:rFonts w:ascii="Arial" w:eastAsia="Arial" w:hAnsi="Arial" w:cs="Arial"/>
          <w:b/>
          <w:i/>
          <w:sz w:val="18"/>
          <w:szCs w:val="22"/>
        </w:rPr>
        <w:t>-134,8%</w:t>
      </w:r>
    </w:p>
    <w:p w:rsidR="006937ED" w:rsidRDefault="006937ED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</w:p>
    <w:p w:rsidR="0012702B" w:rsidRPr="00901275" w:rsidRDefault="0012702B" w:rsidP="00901275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r w:rsidRPr="00901275">
        <w:rPr>
          <w:rFonts w:ascii="Arial" w:eastAsia="Arial" w:hAnsi="Arial" w:cs="Arial"/>
          <w:i/>
          <w:sz w:val="18"/>
          <w:szCs w:val="22"/>
        </w:rPr>
        <w:t>** Memória de cálculo</w:t>
      </w:r>
    </w:p>
    <w:p w:rsidR="00CE7970" w:rsidRDefault="00CE7970" w:rsidP="00CE7970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r>
        <w:rPr>
          <w:rFonts w:ascii="Arial" w:eastAsia="Arial" w:hAnsi="Arial" w:cs="Arial"/>
          <w:i/>
          <w:sz w:val="18"/>
          <w:szCs w:val="22"/>
        </w:rPr>
        <w:t>Variação %</w:t>
      </w:r>
      <w:r w:rsidRPr="00901275">
        <w:rPr>
          <w:rFonts w:ascii="Arial" w:eastAsia="Arial" w:hAnsi="Arial" w:cs="Arial"/>
          <w:i/>
          <w:sz w:val="18"/>
          <w:szCs w:val="22"/>
        </w:rPr>
        <w:t xml:space="preserve"> = </w:t>
      </w:r>
      <w:proofErr w:type="gramStart"/>
      <w:r>
        <w:rPr>
          <w:rFonts w:ascii="Arial" w:eastAsia="Arial" w:hAnsi="Arial" w:cs="Arial"/>
          <w:i/>
          <w:sz w:val="18"/>
          <w:szCs w:val="22"/>
        </w:rPr>
        <w:t>[(</w:t>
      </w:r>
      <w:proofErr w:type="spellStart"/>
      <w:proofErr w:type="gramEnd"/>
      <w:r>
        <w:rPr>
          <w:rFonts w:ascii="Arial" w:eastAsia="Arial" w:hAnsi="Arial" w:cs="Arial"/>
          <w:i/>
          <w:sz w:val="18"/>
          <w:szCs w:val="22"/>
        </w:rPr>
        <w:t>I.atual</w:t>
      </w:r>
      <w:proofErr w:type="spellEnd"/>
      <w:r>
        <w:rPr>
          <w:rFonts w:ascii="Arial" w:eastAsia="Arial" w:hAnsi="Arial" w:cs="Arial"/>
          <w:i/>
          <w:sz w:val="18"/>
          <w:szCs w:val="22"/>
        </w:rPr>
        <w:t xml:space="preserve"> - </w:t>
      </w:r>
      <w:proofErr w:type="spellStart"/>
      <w:r>
        <w:rPr>
          <w:rFonts w:ascii="Arial" w:eastAsia="Arial" w:hAnsi="Arial" w:cs="Arial"/>
          <w:i/>
          <w:sz w:val="18"/>
          <w:szCs w:val="22"/>
        </w:rPr>
        <w:t>I.anterior</w:t>
      </w:r>
      <w:proofErr w:type="spellEnd"/>
      <w:r>
        <w:rPr>
          <w:rFonts w:ascii="Arial" w:eastAsia="Arial" w:hAnsi="Arial" w:cs="Arial"/>
          <w:i/>
          <w:sz w:val="18"/>
          <w:szCs w:val="22"/>
        </w:rPr>
        <w:t xml:space="preserve">) ÷ </w:t>
      </w:r>
      <w:proofErr w:type="spellStart"/>
      <w:r>
        <w:rPr>
          <w:rFonts w:ascii="Arial" w:eastAsia="Arial" w:hAnsi="Arial" w:cs="Arial"/>
          <w:i/>
          <w:sz w:val="18"/>
          <w:szCs w:val="22"/>
        </w:rPr>
        <w:t>I.anterior</w:t>
      </w:r>
      <w:proofErr w:type="spellEnd"/>
      <w:r>
        <w:rPr>
          <w:rFonts w:ascii="Arial" w:eastAsia="Arial" w:hAnsi="Arial" w:cs="Arial"/>
          <w:i/>
          <w:sz w:val="18"/>
          <w:szCs w:val="22"/>
        </w:rPr>
        <w:t>] ×</w:t>
      </w:r>
      <w:r w:rsidRPr="00901275">
        <w:rPr>
          <w:rFonts w:ascii="Arial" w:eastAsia="Arial" w:hAnsi="Arial" w:cs="Arial"/>
          <w:i/>
          <w:sz w:val="18"/>
          <w:szCs w:val="22"/>
        </w:rPr>
        <w:t xml:space="preserve"> 100</w:t>
      </w:r>
    </w:p>
    <w:p w:rsidR="00CE7970" w:rsidRPr="00901275" w:rsidRDefault="00CE7970" w:rsidP="00CE7970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proofErr w:type="spellStart"/>
      <w:r>
        <w:rPr>
          <w:rFonts w:ascii="Arial" w:eastAsia="Arial" w:hAnsi="Arial" w:cs="Arial"/>
          <w:i/>
          <w:sz w:val="18"/>
          <w:szCs w:val="22"/>
        </w:rPr>
        <w:t>I.atual</w:t>
      </w:r>
      <w:proofErr w:type="spellEnd"/>
      <w:r>
        <w:rPr>
          <w:rFonts w:ascii="Arial" w:eastAsia="Arial" w:hAnsi="Arial" w:cs="Arial"/>
          <w:i/>
          <w:sz w:val="18"/>
          <w:szCs w:val="22"/>
        </w:rPr>
        <w:t xml:space="preserve"> = inflação atual; </w:t>
      </w:r>
      <w:proofErr w:type="spellStart"/>
      <w:proofErr w:type="gramStart"/>
      <w:r>
        <w:rPr>
          <w:rFonts w:ascii="Arial" w:eastAsia="Arial" w:hAnsi="Arial" w:cs="Arial"/>
          <w:i/>
          <w:sz w:val="18"/>
          <w:szCs w:val="22"/>
        </w:rPr>
        <w:t>I.anterior</w:t>
      </w:r>
      <w:proofErr w:type="spellEnd"/>
      <w:proofErr w:type="gramEnd"/>
      <w:r>
        <w:rPr>
          <w:rFonts w:ascii="Arial" w:eastAsia="Arial" w:hAnsi="Arial" w:cs="Arial"/>
          <w:i/>
          <w:sz w:val="18"/>
          <w:szCs w:val="22"/>
        </w:rPr>
        <w:t xml:space="preserve"> = inflação anterior</w:t>
      </w:r>
    </w:p>
    <w:p w:rsidR="006937ED" w:rsidRDefault="006937ED" w:rsidP="00CE7970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r>
        <w:rPr>
          <w:rFonts w:ascii="Arial" w:eastAsia="Arial" w:hAnsi="Arial" w:cs="Arial"/>
          <w:i/>
          <w:sz w:val="18"/>
          <w:szCs w:val="22"/>
        </w:rPr>
        <w:lastRenderedPageBreak/>
        <w:t>Então:</w:t>
      </w:r>
    </w:p>
    <w:p w:rsidR="006937ED" w:rsidRDefault="006937ED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proofErr w:type="gramStart"/>
      <w:r>
        <w:rPr>
          <w:rFonts w:ascii="Arial" w:eastAsia="Arial" w:hAnsi="Arial" w:cs="Arial"/>
          <w:i/>
          <w:sz w:val="18"/>
          <w:szCs w:val="22"/>
        </w:rPr>
        <w:t>[</w:t>
      </w:r>
      <w:r w:rsidR="00CE7970">
        <w:rPr>
          <w:rFonts w:ascii="Arial" w:eastAsia="Arial" w:hAnsi="Arial" w:cs="Arial"/>
          <w:i/>
          <w:sz w:val="18"/>
          <w:szCs w:val="22"/>
        </w:rPr>
        <w:t>(</w:t>
      </w:r>
      <w:proofErr w:type="gramEnd"/>
      <w:r w:rsidR="00CE7970">
        <w:rPr>
          <w:rFonts w:ascii="Arial" w:eastAsia="Arial" w:hAnsi="Arial" w:cs="Arial"/>
          <w:i/>
          <w:sz w:val="18"/>
          <w:szCs w:val="22"/>
        </w:rPr>
        <w:t>0,13% - 0,45%)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="00CE7970">
        <w:rPr>
          <w:rFonts w:ascii="Arial" w:eastAsia="Arial" w:hAnsi="Arial" w:cs="Arial"/>
          <w:i/>
          <w:sz w:val="18"/>
          <w:szCs w:val="22"/>
        </w:rPr>
        <w:t>÷</w:t>
      </w:r>
      <w:r>
        <w:rPr>
          <w:rFonts w:ascii="Arial" w:eastAsia="Arial" w:hAnsi="Arial" w:cs="Arial"/>
          <w:i/>
          <w:sz w:val="18"/>
          <w:szCs w:val="22"/>
        </w:rPr>
        <w:t xml:space="preserve"> 0,45%]</w:t>
      </w:r>
      <w:r w:rsidR="00CE7970">
        <w:rPr>
          <w:rFonts w:ascii="Arial" w:eastAsia="Arial" w:hAnsi="Arial" w:cs="Arial"/>
          <w:i/>
          <w:sz w:val="18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22"/>
        </w:rPr>
        <w:t>×</w:t>
      </w:r>
      <w:r w:rsidR="00CE7970">
        <w:rPr>
          <w:rFonts w:ascii="Arial" w:eastAsia="Arial" w:hAnsi="Arial" w:cs="Arial"/>
          <w:i/>
          <w:sz w:val="18"/>
          <w:szCs w:val="22"/>
        </w:rPr>
        <w:t xml:space="preserve"> 100 </w:t>
      </w:r>
    </w:p>
    <w:p w:rsidR="00BF5A3B" w:rsidRPr="006937ED" w:rsidRDefault="006937ED" w:rsidP="006937ED">
      <w:pPr>
        <w:spacing w:line="240" w:lineRule="auto"/>
        <w:jc w:val="both"/>
        <w:rPr>
          <w:rFonts w:ascii="Arial" w:eastAsia="Arial" w:hAnsi="Arial" w:cs="Arial"/>
          <w:i/>
          <w:sz w:val="18"/>
          <w:szCs w:val="22"/>
        </w:rPr>
      </w:pPr>
      <w:proofErr w:type="gramStart"/>
      <w:r>
        <w:rPr>
          <w:rFonts w:ascii="Arial" w:eastAsia="Arial" w:hAnsi="Arial" w:cs="Arial"/>
          <w:i/>
          <w:sz w:val="18"/>
          <w:szCs w:val="22"/>
        </w:rPr>
        <w:t>[</w:t>
      </w:r>
      <w:r w:rsidR="00CE7970">
        <w:rPr>
          <w:rFonts w:ascii="Arial" w:eastAsia="Arial" w:hAnsi="Arial" w:cs="Arial"/>
          <w:i/>
          <w:sz w:val="18"/>
          <w:szCs w:val="22"/>
        </w:rPr>
        <w:t>(</w:t>
      </w:r>
      <w:proofErr w:type="gramEnd"/>
      <w:r w:rsidR="00CE7970">
        <w:rPr>
          <w:rFonts w:ascii="Arial" w:eastAsia="Arial" w:hAnsi="Arial" w:cs="Arial"/>
          <w:i/>
          <w:sz w:val="18"/>
          <w:szCs w:val="22"/>
        </w:rPr>
        <w:t>-0,32%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="00CE7970">
        <w:rPr>
          <w:rFonts w:ascii="Arial" w:eastAsia="Arial" w:hAnsi="Arial" w:cs="Arial"/>
          <w:i/>
          <w:sz w:val="18"/>
          <w:szCs w:val="22"/>
        </w:rPr>
        <w:t>÷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>0,45%)</w:t>
      </w:r>
      <w:r>
        <w:rPr>
          <w:rFonts w:ascii="Arial" w:eastAsia="Arial" w:hAnsi="Arial" w:cs="Arial"/>
          <w:i/>
          <w:sz w:val="18"/>
          <w:szCs w:val="22"/>
        </w:rPr>
        <w:t>]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 xml:space="preserve"> </w:t>
      </w:r>
      <w:r>
        <w:rPr>
          <w:rFonts w:ascii="Arial" w:eastAsia="Arial" w:hAnsi="Arial" w:cs="Arial"/>
          <w:i/>
          <w:sz w:val="18"/>
          <w:szCs w:val="22"/>
        </w:rPr>
        <w:t>×</w:t>
      </w:r>
      <w:r w:rsidR="0012702B" w:rsidRPr="00901275">
        <w:rPr>
          <w:rFonts w:ascii="Arial" w:eastAsia="Arial" w:hAnsi="Arial" w:cs="Arial"/>
          <w:i/>
          <w:sz w:val="18"/>
          <w:szCs w:val="22"/>
        </w:rPr>
        <w:t xml:space="preserve"> 100</w:t>
      </w:r>
      <w:r>
        <w:rPr>
          <w:rFonts w:ascii="Arial" w:eastAsia="Arial" w:hAnsi="Arial" w:cs="Arial"/>
          <w:i/>
          <w:sz w:val="18"/>
          <w:szCs w:val="22"/>
        </w:rPr>
        <w:t xml:space="preserve"> </w:t>
      </w:r>
      <w:r w:rsidRPr="00901275">
        <w:rPr>
          <w:rFonts w:ascii="Arial" w:eastAsia="Arial" w:hAnsi="Arial" w:cs="Arial"/>
          <w:i/>
          <w:sz w:val="18"/>
          <w:szCs w:val="22"/>
        </w:rPr>
        <w:t xml:space="preserve">≈ </w:t>
      </w:r>
      <w:r w:rsidRPr="00901275">
        <w:rPr>
          <w:rFonts w:ascii="Arial" w:eastAsia="Arial" w:hAnsi="Arial" w:cs="Arial"/>
          <w:b/>
          <w:i/>
          <w:sz w:val="18"/>
          <w:szCs w:val="22"/>
        </w:rPr>
        <w:t>-71,1%</w:t>
      </w:r>
    </w:p>
    <w:sectPr w:rsidR="00BF5A3B" w:rsidRPr="006937ED" w:rsidSect="006937ED">
      <w:type w:val="continuous"/>
      <w:pgSz w:w="11906" w:h="16838"/>
      <w:pgMar w:top="2552" w:right="1133" w:bottom="1276" w:left="1134" w:header="1418" w:footer="112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1E" w:rsidRDefault="00697D1E" w:rsidP="00316E7B">
      <w:pPr>
        <w:spacing w:after="0" w:line="240" w:lineRule="auto"/>
      </w:pPr>
      <w:r>
        <w:separator/>
      </w:r>
    </w:p>
  </w:endnote>
  <w:endnote w:type="continuationSeparator" w:id="0">
    <w:p w:rsidR="00697D1E" w:rsidRDefault="00697D1E" w:rsidP="003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Pr="00316E7B" w:rsidRDefault="00316E7B">
    <w:pPr>
      <w:pStyle w:val="Rodap"/>
      <w:rPr>
        <w:b/>
        <w:i/>
      </w:rPr>
    </w:pPr>
    <w:r>
      <w:rPr>
        <w:b/>
        <w:i/>
      </w:rPr>
      <w:t>_____________________________________</w:t>
    </w:r>
    <w:r w:rsidR="00901275">
      <w:rPr>
        <w:b/>
        <w:i/>
      </w:rPr>
      <w:t>_____</w:t>
    </w:r>
    <w:r>
      <w:rPr>
        <w:b/>
        <w:i/>
      </w:rPr>
      <w:t>_______________</w:t>
    </w:r>
    <w:r w:rsidRPr="00316E7B">
      <w:rPr>
        <w:b/>
        <w:i/>
      </w:rPr>
      <w:t>Boletim do projeto de pesquisa IPCA-FGA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1E" w:rsidRDefault="00697D1E" w:rsidP="00316E7B">
      <w:pPr>
        <w:spacing w:after="0" w:line="240" w:lineRule="auto"/>
      </w:pPr>
      <w:r>
        <w:separator/>
      </w:r>
    </w:p>
  </w:footnote>
  <w:footnote w:type="continuationSeparator" w:id="0">
    <w:p w:rsidR="00697D1E" w:rsidRDefault="00697D1E" w:rsidP="003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-138430</wp:posOffset>
              </wp:positionV>
              <wp:extent cx="6086475" cy="895350"/>
              <wp:effectExtent l="0" t="0" r="28575" b="19050"/>
              <wp:wrapNone/>
              <wp:docPr id="25" name="Retâ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6475" cy="8953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592F7" id="Retângulo 25" o:spid="_x0000_s1026" style="position:absolute;margin-left:428.05pt;margin-top:-10.9pt;width:479.25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" filled="f" strokecolor="black [3213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43CA298" wp14:editId="4536652E">
          <wp:simplePos x="0" y="0"/>
          <wp:positionH relativeFrom="column">
            <wp:posOffset>261620</wp:posOffset>
          </wp:positionH>
          <wp:positionV relativeFrom="paragraph">
            <wp:posOffset>4445</wp:posOffset>
          </wp:positionV>
          <wp:extent cx="1000125" cy="645160"/>
          <wp:effectExtent l="0" t="0" r="9525" b="2540"/>
          <wp:wrapNone/>
          <wp:docPr id="7" name="image1.jpg" descr="Logomarca Unifor 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 Unifor M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8"/>
        <w:szCs w:val="28"/>
      </w:rPr>
      <w:t xml:space="preserve">CENTRO UNIVERSITÁRIO DE FORMIGA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Decreto publicado em 05/08/2004 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Mantenedora: FUNDAÇÃO EDUCACIONAL DE FORMIGA – FUOM</w:t>
    </w:r>
  </w:p>
  <w:p w:rsidR="00316E7B" w:rsidRDefault="00316E7B" w:rsidP="00316E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2127" w:hanging="85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Centro de Extensão, Pesquisa, Pós-graduação e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EaD</w:t>
    </w:r>
    <w:proofErr w:type="spellEnd"/>
  </w:p>
  <w:p w:rsidR="00316E7B" w:rsidRDefault="00316E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3B"/>
    <w:rsid w:val="00024EF6"/>
    <w:rsid w:val="000E6D34"/>
    <w:rsid w:val="001026F2"/>
    <w:rsid w:val="0012702B"/>
    <w:rsid w:val="00144BB7"/>
    <w:rsid w:val="001A39DB"/>
    <w:rsid w:val="001E0FBE"/>
    <w:rsid w:val="00236F2F"/>
    <w:rsid w:val="00275293"/>
    <w:rsid w:val="00276ABA"/>
    <w:rsid w:val="002E04EC"/>
    <w:rsid w:val="00310AD7"/>
    <w:rsid w:val="00316E7B"/>
    <w:rsid w:val="003579D0"/>
    <w:rsid w:val="00387AF7"/>
    <w:rsid w:val="00402D07"/>
    <w:rsid w:val="00460382"/>
    <w:rsid w:val="004A48AB"/>
    <w:rsid w:val="004D125D"/>
    <w:rsid w:val="004D51AA"/>
    <w:rsid w:val="0050447D"/>
    <w:rsid w:val="00526BA2"/>
    <w:rsid w:val="00527524"/>
    <w:rsid w:val="00546E35"/>
    <w:rsid w:val="00583379"/>
    <w:rsid w:val="0058740F"/>
    <w:rsid w:val="00597BCD"/>
    <w:rsid w:val="005C4C98"/>
    <w:rsid w:val="00606A2D"/>
    <w:rsid w:val="00626055"/>
    <w:rsid w:val="0064518E"/>
    <w:rsid w:val="006937ED"/>
    <w:rsid w:val="00697D1E"/>
    <w:rsid w:val="007601B6"/>
    <w:rsid w:val="00770CE2"/>
    <w:rsid w:val="007A6CDC"/>
    <w:rsid w:val="00837070"/>
    <w:rsid w:val="008961EA"/>
    <w:rsid w:val="008D7DEE"/>
    <w:rsid w:val="008F5872"/>
    <w:rsid w:val="00901275"/>
    <w:rsid w:val="00991E7F"/>
    <w:rsid w:val="009A4707"/>
    <w:rsid w:val="009D30AC"/>
    <w:rsid w:val="00A15485"/>
    <w:rsid w:val="00A4098C"/>
    <w:rsid w:val="00A4177A"/>
    <w:rsid w:val="00A5209A"/>
    <w:rsid w:val="00AB1F94"/>
    <w:rsid w:val="00B04361"/>
    <w:rsid w:val="00B96503"/>
    <w:rsid w:val="00BC69F3"/>
    <w:rsid w:val="00BF5A3B"/>
    <w:rsid w:val="00C03AF8"/>
    <w:rsid w:val="00C20FB7"/>
    <w:rsid w:val="00C47814"/>
    <w:rsid w:val="00C57AAE"/>
    <w:rsid w:val="00CE75A7"/>
    <w:rsid w:val="00CE7970"/>
    <w:rsid w:val="00D45344"/>
    <w:rsid w:val="00D94837"/>
    <w:rsid w:val="00D965F9"/>
    <w:rsid w:val="00DA1BF5"/>
    <w:rsid w:val="00DA7F9E"/>
    <w:rsid w:val="00DD30B9"/>
    <w:rsid w:val="00DE13F3"/>
    <w:rsid w:val="00DF462B"/>
    <w:rsid w:val="00E43D92"/>
    <w:rsid w:val="00E47B20"/>
    <w:rsid w:val="00E75C0E"/>
    <w:rsid w:val="00ED2B1F"/>
    <w:rsid w:val="00ED3403"/>
    <w:rsid w:val="00F16A99"/>
    <w:rsid w:val="00F30994"/>
    <w:rsid w:val="00F47C3A"/>
    <w:rsid w:val="00F711C0"/>
    <w:rsid w:val="00F87327"/>
    <w:rsid w:val="00F876C8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D5B08"/>
  <w15:docId w15:val="{9471F7E0-0129-404D-A547-3460C9B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558"/>
  </w:style>
  <w:style w:type="paragraph" w:styleId="Ttulo1">
    <w:name w:val="heading 1"/>
    <w:basedOn w:val="Normal"/>
    <w:next w:val="Normal"/>
    <w:link w:val="Ttulo1Char"/>
    <w:uiPriority w:val="9"/>
    <w:qFormat/>
    <w:rsid w:val="00BE455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55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5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55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55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55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55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55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55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E45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55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Cabealho">
    <w:name w:val="header"/>
    <w:basedOn w:val="Normal"/>
    <w:link w:val="CabealhoChar"/>
    <w:uiPriority w:val="99"/>
    <w:rsid w:val="008223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3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223AC"/>
    <w:pPr>
      <w:spacing w:line="48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223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2346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3F66B6"/>
    <w:pPr>
      <w:autoSpaceDE w:val="0"/>
      <w:autoSpaceDN w:val="0"/>
      <w:adjustRightInd w:val="0"/>
      <w:spacing w:line="201" w:lineRule="atLeast"/>
    </w:pPr>
    <w:rPr>
      <w:rFonts w:ascii="Helvetica" w:eastAsiaTheme="minorHAnsi" w:hAnsi="Helvetica" w:cs="Helvetic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55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5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5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55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55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55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55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55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455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BE455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E455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E4558"/>
    <w:rPr>
      <w:b/>
      <w:bCs/>
    </w:rPr>
  </w:style>
  <w:style w:type="character" w:styleId="nfase">
    <w:name w:val="Emphasis"/>
    <w:basedOn w:val="Fontepargpadro"/>
    <w:uiPriority w:val="20"/>
    <w:qFormat/>
    <w:rsid w:val="00BE4558"/>
    <w:rPr>
      <w:i/>
      <w:iCs/>
    </w:rPr>
  </w:style>
  <w:style w:type="paragraph" w:styleId="SemEspaamento">
    <w:name w:val="No Spacing"/>
    <w:uiPriority w:val="1"/>
    <w:qFormat/>
    <w:rsid w:val="00BE455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E455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E455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55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5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E4558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E455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E455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E4558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E455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4558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316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1wAWeSSucIc+ggf0xwfCUzQ+kQ==">AMUW2mX8Akvoc/qtfayzsZS5qnMtdrD5f3IpB0Kwv0UGT6uUC22aVKEQVGi/MsJqyrqo5GGIsXSG0YvWT6sSzyw3aWBcDZNHPelYD+am7bP3UtMi+1Lnw3gEP7r+huT4rFvnfYkIOEVt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Leyser Rodrigues Oliveira</dc:creator>
  <cp:lastModifiedBy>Jussara Oliveira</cp:lastModifiedBy>
  <cp:revision>2</cp:revision>
  <cp:lastPrinted>2023-02-16T21:09:00Z</cp:lastPrinted>
  <dcterms:created xsi:type="dcterms:W3CDTF">2023-12-04T17:21:00Z</dcterms:created>
  <dcterms:modified xsi:type="dcterms:W3CDTF">2023-12-04T17:21:00Z</dcterms:modified>
</cp:coreProperties>
</file>